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8B5" w:rsidRDefault="00CF77F9" w:rsidP="00FF4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6E5">
        <w:rPr>
          <w:rFonts w:ascii="Times New Roman" w:hAnsi="Times New Roman" w:cs="Times New Roman"/>
          <w:sz w:val="28"/>
          <w:szCs w:val="28"/>
        </w:rPr>
        <w:t>Результати рейтингового оцінювання науково-педагогічних працівників</w:t>
      </w:r>
    </w:p>
    <w:p w:rsidR="00FF48B5" w:rsidRDefault="00FF48B5" w:rsidP="00FF4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8D9" w:rsidRDefault="00FF48B5" w:rsidP="007A58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Економічний факультет, в</w:t>
      </w:r>
      <w:r w:rsidRPr="00FF48B5">
        <w:rPr>
          <w:rFonts w:ascii="Times New Roman" w:hAnsi="Times New Roman" w:cs="Times New Roman"/>
          <w:sz w:val="28"/>
          <w:szCs w:val="28"/>
        </w:rPr>
        <w:t>ідповідно до статті 41 Закону України «Про освіту», статті 16 Закону України «Про вищу освіту», Статуту Харківського національного університету імені В. Н. Каразіна,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C0F">
        <w:rPr>
          <w:rFonts w:ascii="Times New Roman" w:hAnsi="Times New Roman" w:cs="Times New Roman"/>
          <w:sz w:val="28"/>
          <w:szCs w:val="28"/>
        </w:rPr>
        <w:t>підтримує</w:t>
      </w:r>
      <w:r w:rsidR="007A5888" w:rsidRPr="007A5888">
        <w:rPr>
          <w:rFonts w:ascii="Times New Roman" w:hAnsi="Times New Roman" w:cs="Times New Roman"/>
          <w:sz w:val="28"/>
          <w:szCs w:val="28"/>
        </w:rPr>
        <w:t xml:space="preserve"> функціонування </w:t>
      </w:r>
      <w:r w:rsidR="007A5888">
        <w:rPr>
          <w:rFonts w:ascii="Times New Roman" w:hAnsi="Times New Roman" w:cs="Times New Roman"/>
          <w:sz w:val="28"/>
          <w:szCs w:val="28"/>
        </w:rPr>
        <w:t xml:space="preserve">на факультеті </w:t>
      </w:r>
      <w:r w:rsidR="007A5888" w:rsidRPr="007A5888">
        <w:rPr>
          <w:rFonts w:ascii="Times New Roman" w:hAnsi="Times New Roman" w:cs="Times New Roman"/>
          <w:sz w:val="28"/>
          <w:szCs w:val="28"/>
        </w:rPr>
        <w:t>системи внутрішнього забезпечення якості</w:t>
      </w:r>
      <w:r w:rsidR="00190C0F">
        <w:rPr>
          <w:rFonts w:ascii="Times New Roman" w:hAnsi="Times New Roman" w:cs="Times New Roman"/>
          <w:sz w:val="28"/>
          <w:szCs w:val="28"/>
        </w:rPr>
        <w:t>,</w:t>
      </w:r>
      <w:r w:rsidR="007A5888" w:rsidRPr="007A5888">
        <w:rPr>
          <w:rFonts w:ascii="Times New Roman" w:hAnsi="Times New Roman" w:cs="Times New Roman"/>
          <w:sz w:val="28"/>
          <w:szCs w:val="28"/>
        </w:rPr>
        <w:t xml:space="preserve"> </w:t>
      </w:r>
      <w:r w:rsidR="007A5888">
        <w:rPr>
          <w:rFonts w:ascii="Times New Roman" w:hAnsi="Times New Roman" w:cs="Times New Roman"/>
          <w:sz w:val="28"/>
          <w:szCs w:val="28"/>
        </w:rPr>
        <w:t xml:space="preserve">шляхом здійснення такого заходу, як то - </w:t>
      </w:r>
      <w:r w:rsidR="007A5888" w:rsidRPr="007A5888">
        <w:rPr>
          <w:rFonts w:ascii="Times New Roman" w:hAnsi="Times New Roman" w:cs="Times New Roman"/>
          <w:sz w:val="28"/>
          <w:szCs w:val="28"/>
        </w:rPr>
        <w:t>щорічн</w:t>
      </w:r>
      <w:r w:rsidR="007A5888">
        <w:rPr>
          <w:rFonts w:ascii="Times New Roman" w:hAnsi="Times New Roman" w:cs="Times New Roman"/>
          <w:sz w:val="28"/>
          <w:szCs w:val="28"/>
        </w:rPr>
        <w:t>е</w:t>
      </w:r>
      <w:r w:rsidR="007A5888" w:rsidRPr="007A5888">
        <w:rPr>
          <w:rFonts w:ascii="Times New Roman" w:hAnsi="Times New Roman" w:cs="Times New Roman"/>
          <w:sz w:val="28"/>
          <w:szCs w:val="28"/>
        </w:rPr>
        <w:t xml:space="preserve"> оцінювання науково-педагогічних працівників</w:t>
      </w:r>
      <w:r w:rsidR="007A5888">
        <w:rPr>
          <w:rFonts w:ascii="Times New Roman" w:hAnsi="Times New Roman" w:cs="Times New Roman"/>
          <w:sz w:val="28"/>
          <w:szCs w:val="28"/>
        </w:rPr>
        <w:t xml:space="preserve"> факультету.</w:t>
      </w:r>
    </w:p>
    <w:p w:rsidR="00D17B9B" w:rsidRDefault="007B08D9" w:rsidP="00D17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Процедура визначення </w:t>
      </w:r>
      <w:r w:rsidRPr="00D17B9B">
        <w:rPr>
          <w:rFonts w:ascii="Times New Roman" w:hAnsi="Times New Roman" w:cs="Times New Roman"/>
          <w:sz w:val="28"/>
          <w:szCs w:val="28"/>
        </w:rPr>
        <w:t>Індивідуальних рейтингових показників науково-педагогічних працівників факультету</w:t>
      </w:r>
      <w:r w:rsidR="00D17B9B" w:rsidRPr="00D17B9B">
        <w:rPr>
          <w:rFonts w:ascii="Times New Roman" w:hAnsi="Times New Roman" w:cs="Times New Roman"/>
          <w:sz w:val="28"/>
          <w:szCs w:val="28"/>
        </w:rPr>
        <w:t xml:space="preserve">, відбувається з урахуванням «Оцінки діяльності викладачів, яка враховує особливості факультетів». </w:t>
      </w:r>
    </w:p>
    <w:p w:rsidR="00D17B9B" w:rsidRDefault="00D17B9B" w:rsidP="00D17B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Нова Редакція «</w:t>
      </w:r>
      <w:r w:rsidRPr="00D93FBE">
        <w:rPr>
          <w:rFonts w:ascii="Times New Roman" w:eastAsia="Times New Roman" w:hAnsi="Times New Roman" w:cs="Times New Roman"/>
          <w:sz w:val="28"/>
          <w:szCs w:val="28"/>
        </w:rPr>
        <w:t>Оцінк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3FBE">
        <w:rPr>
          <w:rFonts w:ascii="Times New Roman" w:eastAsia="Times New Roman" w:hAnsi="Times New Roman" w:cs="Times New Roman"/>
          <w:sz w:val="28"/>
          <w:szCs w:val="28"/>
        </w:rPr>
        <w:t xml:space="preserve"> діяльності викладачів, яка враховує особливості факультетів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затверджено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Вченою радою економічного факультету </w:t>
      </w:r>
      <w:r w:rsidRPr="00D17B9B">
        <w:rPr>
          <w:rFonts w:ascii="Times New Roman" w:hAnsi="Times New Roman" w:cs="Times New Roman"/>
          <w:sz w:val="28"/>
          <w:szCs w:val="28"/>
        </w:rPr>
        <w:t>від 27 серпня 2024 року, протокол № 1</w:t>
      </w:r>
      <w:r w:rsidR="00043ACF">
        <w:rPr>
          <w:rFonts w:ascii="Times New Roman" w:hAnsi="Times New Roman" w:cs="Times New Roman"/>
          <w:sz w:val="28"/>
          <w:szCs w:val="28"/>
        </w:rPr>
        <w:t xml:space="preserve"> (Таблиця 1).</w:t>
      </w:r>
    </w:p>
    <w:p w:rsidR="00821DDC" w:rsidRPr="00821DDC" w:rsidRDefault="00821DDC" w:rsidP="00306FB1">
      <w:pPr>
        <w:jc w:val="right"/>
        <w:rPr>
          <w:rFonts w:ascii="Times New Roman" w:hAnsi="Times New Roman" w:cs="Times New Roman"/>
          <w:sz w:val="28"/>
          <w:szCs w:val="28"/>
        </w:rPr>
      </w:pPr>
      <w:r w:rsidRPr="00821DDC">
        <w:rPr>
          <w:rFonts w:ascii="Times New Roman" w:hAnsi="Times New Roman" w:cs="Times New Roman"/>
          <w:sz w:val="28"/>
          <w:szCs w:val="28"/>
        </w:rPr>
        <w:t>Таблиця 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1"/>
        <w:gridCol w:w="5380"/>
        <w:gridCol w:w="3228"/>
      </w:tblGrid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407E6E" w:rsidRDefault="00821DDC" w:rsidP="00715B14">
            <w:pPr>
              <w:pStyle w:val="20"/>
              <w:shd w:val="clear" w:color="auto" w:fill="auto"/>
              <w:spacing w:before="0" w:after="60" w:line="240" w:lineRule="exact"/>
              <w:rPr>
                <w:sz w:val="28"/>
                <w:szCs w:val="28"/>
              </w:rPr>
            </w:pPr>
            <w:r w:rsidRPr="00407E6E">
              <w:rPr>
                <w:rStyle w:val="21"/>
                <w:b/>
                <w:bCs/>
                <w:sz w:val="28"/>
                <w:szCs w:val="28"/>
              </w:rPr>
              <w:t>№</w:t>
            </w:r>
          </w:p>
          <w:p w:rsidR="00821DDC" w:rsidRPr="00407E6E" w:rsidRDefault="00821DDC" w:rsidP="00715B14">
            <w:pPr>
              <w:pStyle w:val="20"/>
              <w:shd w:val="clear" w:color="auto" w:fill="auto"/>
              <w:spacing w:before="60" w:line="240" w:lineRule="exact"/>
              <w:ind w:left="-24"/>
              <w:rPr>
                <w:sz w:val="28"/>
                <w:szCs w:val="28"/>
              </w:rPr>
            </w:pPr>
            <w:r w:rsidRPr="00407E6E">
              <w:rPr>
                <w:color w:val="000000"/>
                <w:sz w:val="28"/>
                <w:szCs w:val="28"/>
                <w:lang w:eastAsia="uk-UA" w:bidi="uk-UA"/>
              </w:rPr>
              <w:t>з/п</w:t>
            </w:r>
          </w:p>
        </w:tc>
        <w:tc>
          <w:tcPr>
            <w:tcW w:w="5380" w:type="dxa"/>
            <w:vAlign w:val="center"/>
          </w:tcPr>
          <w:p w:rsidR="00821DDC" w:rsidRPr="00407E6E" w:rsidRDefault="00821DDC" w:rsidP="00715B14">
            <w:pPr>
              <w:pStyle w:val="20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  <w:r w:rsidRPr="00407E6E">
              <w:rPr>
                <w:color w:val="000000"/>
                <w:sz w:val="28"/>
                <w:szCs w:val="28"/>
                <w:lang w:eastAsia="uk-UA" w:bidi="uk-UA"/>
              </w:rPr>
              <w:t>Показник</w:t>
            </w:r>
          </w:p>
        </w:tc>
        <w:tc>
          <w:tcPr>
            <w:tcW w:w="3228" w:type="dxa"/>
            <w:vAlign w:val="center"/>
          </w:tcPr>
          <w:p w:rsidR="00821DDC" w:rsidRPr="00407E6E" w:rsidRDefault="00821DDC" w:rsidP="00715B14">
            <w:pPr>
              <w:pStyle w:val="20"/>
              <w:shd w:val="clear" w:color="auto" w:fill="auto"/>
              <w:spacing w:before="0" w:line="278" w:lineRule="exact"/>
              <w:rPr>
                <w:sz w:val="28"/>
                <w:szCs w:val="28"/>
              </w:rPr>
            </w:pPr>
            <w:r w:rsidRPr="00407E6E">
              <w:rPr>
                <w:color w:val="000000"/>
                <w:sz w:val="28"/>
                <w:szCs w:val="28"/>
                <w:lang w:eastAsia="uk-UA" w:bidi="uk-UA"/>
              </w:rPr>
              <w:t>Формула для розрахунку балів</w:t>
            </w:r>
            <w:r w:rsidR="00B8638F">
              <w:rPr>
                <w:rStyle w:val="a7"/>
                <w:color w:val="000000"/>
                <w:sz w:val="28"/>
                <w:szCs w:val="28"/>
                <w:lang w:eastAsia="uk-UA" w:bidi="uk-UA"/>
              </w:rPr>
              <w:footnoteReference w:id="1"/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1">
              <w:rPr>
                <w:rStyle w:val="21"/>
                <w:rFonts w:eastAsiaTheme="minorHAnsi"/>
                <w:b w:val="0"/>
              </w:rPr>
              <w:t>Перемога або відзнака, як результат участі в університетському конкурсі навчальної та наукової літератури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1">
              <w:rPr>
                <w:rStyle w:val="21"/>
                <w:rFonts w:eastAsiaTheme="minorHAnsi"/>
                <w:b w:val="0"/>
              </w:rPr>
              <w:t>3 * кількість /кількість співавторів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в електронному архіві університету eKHNUIR наукові та освітні матеріали </w:t>
            </w:r>
            <w:r w:rsidRPr="00D60A81">
              <w:rPr>
                <w:rStyle w:val="21"/>
                <w:rFonts w:eastAsiaTheme="minorHAnsi"/>
                <w:b w:val="0"/>
              </w:rPr>
              <w:t>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Style w:val="21"/>
                <w:rFonts w:eastAsiaTheme="minorHAnsi"/>
                <w:b w:val="0"/>
              </w:rPr>
              <w:t>5 * кількість /кількість співавторів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Керівництво наповненням сайту факультету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10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Керівництво наповненням веб-сторінок факультету у соцмережах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5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76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Виконання обов’язків кураторів студентської групи - переможниці у конкурсі на кращу студентську групу університету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3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71" w:lineRule="exact"/>
              <w:jc w:val="left"/>
              <w:rPr>
                <w:rStyle w:val="21"/>
                <w:bCs/>
              </w:rPr>
            </w:pPr>
            <w:r w:rsidRPr="00D60A81">
              <w:rPr>
                <w:rStyle w:val="21"/>
                <w:bCs/>
              </w:rPr>
              <w:t xml:space="preserve">Керівництво науковими, інноваційними, освітніми гуртками, клубами, центрами факультету   </w:t>
            </w:r>
          </w:p>
          <w:p w:rsidR="00821DDC" w:rsidRPr="00D60A81" w:rsidRDefault="00821DDC" w:rsidP="00715B14">
            <w:pPr>
              <w:pStyle w:val="20"/>
              <w:shd w:val="clear" w:color="auto" w:fill="auto"/>
              <w:spacing w:before="0" w:line="271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5 * кількість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76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Керівництво командою студентів факультету (або студентом) - переможниці (або переможця) в міжнародних олімпіадах, конкурсах, турнірах та ін.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5 * кількість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71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 xml:space="preserve">Керівництво командою студентів факультету (або студентом) - переможниці (або переможця) у всеукраїнських олімпіадах, конкурсах, турнірах </w:t>
            </w:r>
            <w:r w:rsidRPr="00D60A81">
              <w:rPr>
                <w:rStyle w:val="21"/>
                <w:bCs/>
              </w:rPr>
              <w:lastRenderedPageBreak/>
              <w:t>та ін.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lastRenderedPageBreak/>
              <w:t>4 * кількість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76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Керівництво командою студентів факультету (або студентом) - переможниці (або переможця) в обласних, міських олімпіадах, конкурсах, турнірах та ін.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3 * кількість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81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Виконання обов’язків голови Методичної комісії факультету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10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69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Виконання обов’язків члена Методичної комісії факультету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3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76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Виконання обов’язків члена Вченої ради, Науково- методичної ради, Науково-технічної ради та інших рад університету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5 * кількість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Виконання обов’язків голови вченої ради факультету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10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76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Виконання обов’язків вченого секретаря вченої ради факультету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8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Виконання обов’язків члена вченої ради факультету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5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71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Робота в якості головного редактора наукового журналу або вісника університету, що видається на базі факультету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10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Робота в якості заступника головного редактора, відповідального секретаря наукового журналу або вісника університету, що видається на базі факультету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8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Робота в якості члена редколегії наукового журналу або вісника університету, що видається на базі факультету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2 * кількість рецензованих статей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76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Робота в якості голови, заступника голови організаційного (наукового) комітету міжнародної або всеукраїнської наукової (науково-практичної) конференції (круглого стола, симпозіуму, семінару та ін.), які проводяться на базі факультету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5 * кількість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Робота в якості члена організаційного (наукового) комітету міжнародної або всеукраїнської наукової (науково-практичної) конференції (круглого стола, симпозіуму, семінару та ін.), які проводяться на базі факультету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2 * кількість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Виконання обов’язків голови, заступника голови журі олімпіади з економіки, журі конкурсу студентських наукових робіт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7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Виконання обов’язків члена журі олімпіади з економіки, журі конкурсу студентських наукових робіт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3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Участь у роботі приймальної комісії факультету (в атестаційній комісії)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5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Участь у роботі приймальної комісії факультету (в |</w:t>
            </w:r>
            <w:r w:rsidRPr="00D60A81">
              <w:rPr>
                <w:bCs w:val="0"/>
                <w:sz w:val="24"/>
                <w:szCs w:val="24"/>
              </w:rPr>
              <w:t xml:space="preserve"> </w:t>
            </w:r>
            <w:r w:rsidRPr="00D60A81">
              <w:rPr>
                <w:rStyle w:val="21"/>
                <w:bCs/>
              </w:rPr>
              <w:t>апеляційній комісії)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3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"/>
                <w:bCs/>
              </w:rPr>
            </w:pPr>
            <w:r w:rsidRPr="00D60A81">
              <w:rPr>
                <w:rStyle w:val="21"/>
                <w:bCs/>
              </w:rPr>
              <w:t>Робота з профорієнтації вступників (за результатами набору студентів вступної компанії попереднього року)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"/>
                <w:bCs/>
              </w:rPr>
            </w:pPr>
            <w:r w:rsidRPr="00D60A81">
              <w:rPr>
                <w:rStyle w:val="21"/>
                <w:bCs/>
              </w:rPr>
              <w:t>0,5 * кількість залучених абітурієнтів (за поданням зав. каф. декану факультету)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69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Наукове керівництво НДР на факультеті (без фінансування)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5 * кількість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71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Відповідальний виконавець НДР на факультеті (без фінансування)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4 * кількість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8A2682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82">
              <w:rPr>
                <w:rFonts w:ascii="Times New Roman" w:hAnsi="Times New Roman" w:cs="Times New Roman"/>
                <w:sz w:val="24"/>
                <w:szCs w:val="24"/>
              </w:rPr>
              <w:t xml:space="preserve">Співвиконавець НДР </w:t>
            </w:r>
            <w:r w:rsidRPr="008A2682">
              <w:rPr>
                <w:rStyle w:val="21"/>
                <w:rFonts w:eastAsiaTheme="minorHAnsi"/>
                <w:b w:val="0"/>
              </w:rPr>
              <w:t>на факультеті (без фінансування)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8A2682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2682">
              <w:rPr>
                <w:rStyle w:val="21"/>
                <w:rFonts w:eastAsiaTheme="minorHAnsi"/>
              </w:rPr>
              <w:t xml:space="preserve">* </w:t>
            </w:r>
            <w:r w:rsidRPr="008A2682">
              <w:rPr>
                <w:rStyle w:val="21"/>
                <w:rFonts w:eastAsiaTheme="minorHAnsi"/>
                <w:b w:val="0"/>
              </w:rPr>
              <w:t>кількість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Виконання обов’язків відповідального за міжнародною освітньою або науковою угодою (договором) факультету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3 * кількість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 xml:space="preserve">Організація та проведення </w:t>
            </w:r>
            <w:proofErr w:type="spellStart"/>
            <w:r w:rsidRPr="00D60A81">
              <w:rPr>
                <w:rStyle w:val="21"/>
                <w:bCs/>
              </w:rPr>
              <w:t>загальнофакультетських</w:t>
            </w:r>
            <w:proofErr w:type="spellEnd"/>
            <w:r w:rsidRPr="00D60A81">
              <w:rPr>
                <w:rStyle w:val="21"/>
                <w:bCs/>
              </w:rPr>
              <w:t xml:space="preserve"> освітніх, науково-інноваційних, методичних, кар’єрних, спортивних, культурних заходів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76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3 * кількість (визначається деканом факультету)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Робота в комісіях, радах, робочих групах Міністерства освіти і науки України, інших органів державної влади та управління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7 * кількість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Робота в комісіях', робочих групах ХНУ імені В.Н. Каразіна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5 * кількість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71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Виконання інших важливих для факультету завдань і доручень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71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максимум 5 балів (визначається деканом факультету)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76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Виконання обов’язків завідувача кафедри факультету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8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Виконання обов’язків заступника декана факультету (у поточному навчальному році)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D60A81">
              <w:rPr>
                <w:rStyle w:val="21"/>
                <w:bCs/>
              </w:rPr>
              <w:t>10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Наукові публікації що індексуються 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наукометричною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 базою Scopus за такими їх різновидами (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), як: 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, у вихідних даних яких зазначено Харківський національний університет імені В. Н. Каразіна  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7 (кожному 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автору)*кількість 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публікацій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Стаття (монографія, розділ монографії), опублікована у виданні, віднесеному до першого або другого квартилю (Q1;Q2), що індексується 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наукометричною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 базою Scopus / Web of Science, у вихідних даних яких зазначено Харківський національний університет імені В. Н. Каразіна  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15 (кожному 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автору)*кількість 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публікацій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Керівництво аспірантами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r w:rsidRPr="00D60A81">
              <w:rPr>
                <w:rStyle w:val="21"/>
                <w:rFonts w:eastAsiaTheme="minorHAnsi"/>
                <w:b w:val="0"/>
              </w:rPr>
              <w:t>5 * кількість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Наукове 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консультування 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докторантів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r w:rsidRPr="00D60A81">
              <w:rPr>
                <w:rStyle w:val="21"/>
                <w:rFonts w:eastAsiaTheme="minorHAnsi"/>
                <w:b w:val="0"/>
              </w:rPr>
              <w:t>10 * кількість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обов’язків 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гаранта освітньої 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Публікація інших навчально-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методичних видань для вищої школи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7 (кожному 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автору)*кількість 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Виконання доручень завідувача кафедри</w:t>
            </w: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Участь у наповненні веб-сторінок кафедри у соціальних мережах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обов’язків 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куратора академічної 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Сертифікація навчальних дисциплін відповідними професійними організаціями</w:t>
            </w:r>
          </w:p>
        </w:tc>
        <w:tc>
          <w:tcPr>
            <w:tcW w:w="3228" w:type="dxa"/>
          </w:tcPr>
          <w:p w:rsidR="00821DDC" w:rsidRPr="00D60A81" w:rsidRDefault="00821DDC" w:rsidP="00715B14">
            <w:r w:rsidRPr="00D60A81">
              <w:rPr>
                <w:rStyle w:val="21"/>
                <w:rFonts w:eastAsiaTheme="minorHAnsi"/>
                <w:b w:val="0"/>
              </w:rPr>
              <w:t>5 * кількість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Сертифікація науково-педагогічних працівників відповідними професійними організаціями</w:t>
            </w:r>
          </w:p>
        </w:tc>
        <w:tc>
          <w:tcPr>
            <w:tcW w:w="3228" w:type="dxa"/>
          </w:tcPr>
          <w:p w:rsidR="00821DDC" w:rsidRPr="00D60A81" w:rsidRDefault="00821DDC" w:rsidP="00715B14">
            <w:r w:rsidRPr="00D60A81">
              <w:rPr>
                <w:rStyle w:val="21"/>
                <w:rFonts w:eastAsiaTheme="minorHAnsi"/>
                <w:b w:val="0"/>
              </w:rPr>
              <w:t>5 * кількість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Провадження наукової діяльності, що цілком відповідає як статутній меті  так і основним завданням Каразінського університету. Зокрема: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– втілення здобутих наукових знань в освітній процес;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– провадження наукової діяльності шляхом проведення наукових досліджень і використання отриманих результатів у освітньому процесі;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– забезпечення органічного поєднання в освітньому процесі освітньої, наукової та інноваційної діяльності.</w:t>
            </w:r>
          </w:p>
          <w:p w:rsidR="00821DDC" w:rsidRPr="00D60A81" w:rsidRDefault="00821DDC" w:rsidP="00715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(При умові, що буде наведено чисельне значення за складовими Формули, яка є формалізованим записом перелічених статутної мети та завдань</w:t>
            </w:r>
            <w:r>
              <w:rPr>
                <w:rFonts w:ascii="Times New Roman" w:hAnsi="Times New Roman" w:cs="Times New Roman"/>
              </w:rPr>
              <w:t xml:space="preserve"> і затверджена у</w:t>
            </w:r>
            <w:r>
              <w:t xml:space="preserve"> </w:t>
            </w:r>
            <w:r w:rsidRPr="00D60A81">
              <w:rPr>
                <w:rFonts w:ascii="Times New Roman" w:hAnsi="Times New Roman" w:cs="Times New Roman"/>
              </w:rPr>
              <w:t>Стратегії розвитку економічного факультету</w:t>
            </w: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rPr>
                <w:rStyle w:val="21"/>
                <w:rFonts w:eastAsiaTheme="minorHAnsi"/>
                <w:b w:val="0"/>
              </w:rPr>
            </w:pPr>
            <w:r w:rsidRPr="00D60A81">
              <w:rPr>
                <w:rStyle w:val="21"/>
                <w:rFonts w:eastAsiaTheme="minorHAnsi"/>
                <w:b w:val="0"/>
              </w:rPr>
              <w:t>3* Кількість складових Формули</w:t>
            </w:r>
          </w:p>
          <w:p w:rsidR="00821DDC" w:rsidRPr="00D60A81" w:rsidRDefault="00821DDC" w:rsidP="00715B14">
            <w:pPr>
              <w:rPr>
                <w:rStyle w:val="21"/>
                <w:rFonts w:eastAsiaTheme="minorHAnsi"/>
                <w:b w:val="0"/>
              </w:rPr>
            </w:pPr>
            <w:r w:rsidRPr="00D60A81">
              <w:rPr>
                <w:rStyle w:val="21"/>
                <w:rFonts w:eastAsiaTheme="minorHAnsi"/>
                <w:b w:val="0"/>
              </w:rPr>
              <w:t>(зокрема: β; γ; δ)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Провадження результатів наукової діяльності науково-педагогічним працівником, що можна занести у вищезгадану Формулу, як складник - </w:t>
            </w:r>
            <w:r w:rsidRPr="00D60A81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</w:p>
        </w:tc>
        <w:tc>
          <w:tcPr>
            <w:tcW w:w="3228" w:type="dxa"/>
            <w:vAlign w:val="center"/>
          </w:tcPr>
          <w:p w:rsidR="00821DDC" w:rsidRPr="00D60A81" w:rsidRDefault="00821DDC" w:rsidP="00715B14">
            <w:pPr>
              <w:rPr>
                <w:rStyle w:val="21"/>
                <w:rFonts w:eastAsiaTheme="minorHAnsi"/>
                <w:b w:val="0"/>
              </w:rPr>
            </w:pPr>
            <w:r w:rsidRPr="00D60A81">
              <w:rPr>
                <w:rStyle w:val="21"/>
                <w:rFonts w:eastAsiaTheme="minorHAnsi"/>
                <w:b w:val="0"/>
              </w:rPr>
              <w:t>-50</w:t>
            </w:r>
          </w:p>
        </w:tc>
      </w:tr>
      <w:tr w:rsidR="00821DDC" w:rsidRPr="00A01391" w:rsidTr="00821DDC">
        <w:trPr>
          <w:jc w:val="center"/>
        </w:trPr>
        <w:tc>
          <w:tcPr>
            <w:tcW w:w="1021" w:type="dxa"/>
            <w:vAlign w:val="center"/>
          </w:tcPr>
          <w:p w:rsidR="00821DDC" w:rsidRPr="00F5081D" w:rsidRDefault="00821DDC" w:rsidP="00821DDC">
            <w:pPr>
              <w:pStyle w:val="a4"/>
              <w:numPr>
                <w:ilvl w:val="0"/>
                <w:numId w:val="1"/>
              </w:numP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Позитивна динаміка в науково-методичній статистиці (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Publication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metrics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) за набором вимірювальних інструментів науково-педагогічного працівника. До вказаного набору належать, зокрема: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A) Google 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scholar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a1) Бібліографічні посилання;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a2) h-індекс;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a3) i10-індекс.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Researchgate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b1) Читають (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Reads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b2) Загальний науковий інтерес (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b3) Цитування (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Citations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b4) Рекомендації (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Recommendations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 Kharkiv 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 University 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Institutional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Repository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c1) Всього скачано, з них: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c1.1) Наукові видання та наукові роботи, всього скачано;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c1.2) Навчальні видання, всього скачано.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D) Web of Science 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ResearcherID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d1) 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Publications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d2) 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cited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d3) H-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) Scopus 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 ID: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e1) 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Citations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1DDC" w:rsidRPr="00D60A81" w:rsidRDefault="00821DDC" w:rsidP="0071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3) h-</w:t>
            </w:r>
            <w:proofErr w:type="spellStart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D60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</w:tcPr>
          <w:p w:rsidR="00821DDC" w:rsidRPr="00D60A81" w:rsidRDefault="00821DDC" w:rsidP="00715B14">
            <w:pPr>
              <w:rPr>
                <w:rStyle w:val="21"/>
                <w:rFonts w:eastAsiaTheme="minorHAnsi"/>
                <w:b w:val="0"/>
              </w:rPr>
            </w:pPr>
            <w:r w:rsidRPr="00D60A81">
              <w:rPr>
                <w:rStyle w:val="21"/>
                <w:rFonts w:eastAsiaTheme="minorHAnsi"/>
                <w:b w:val="0"/>
              </w:rPr>
              <w:lastRenderedPageBreak/>
              <w:t>1* Кількість</w:t>
            </w:r>
            <w:r w:rsidRPr="00D60A81">
              <w:rPr>
                <w:rStyle w:val="21"/>
                <w:rFonts w:eastAsiaTheme="minorHAnsi"/>
                <w:b w:val="0"/>
                <w:lang w:val="en-US"/>
              </w:rPr>
              <w:t xml:space="preserve"> </w:t>
            </w:r>
            <w:r w:rsidRPr="00D60A81">
              <w:rPr>
                <w:rStyle w:val="21"/>
                <w:rFonts w:eastAsiaTheme="minorHAnsi"/>
                <w:b w:val="0"/>
              </w:rPr>
              <w:t>(Оцінюється за всім інструментарієм з набору)</w:t>
            </w:r>
          </w:p>
        </w:tc>
      </w:tr>
    </w:tbl>
    <w:p w:rsidR="00821DDC" w:rsidRPr="00B67568" w:rsidRDefault="00821DDC" w:rsidP="00821D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DDC" w:rsidRDefault="00821DDC" w:rsidP="00821DDC"/>
    <w:p w:rsidR="00043ACF" w:rsidRDefault="00043ACF" w:rsidP="00D17B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ACF" w:rsidRDefault="00043ACF" w:rsidP="00D17B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753" w:rsidRDefault="00140753" w:rsidP="00D17B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753" w:rsidRDefault="00140753" w:rsidP="00D17B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753" w:rsidRPr="004551EA" w:rsidRDefault="00140753" w:rsidP="00D17B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D17B9B" w:rsidRDefault="00D17B9B" w:rsidP="00D17B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EAE" w:rsidRDefault="00CF77F9" w:rsidP="007A5888">
      <w:pPr>
        <w:ind w:firstLine="708"/>
        <w:jc w:val="both"/>
      </w:pPr>
      <w:r w:rsidRPr="00E436E5">
        <w:rPr>
          <w:rFonts w:ascii="Times New Roman" w:hAnsi="Times New Roman" w:cs="Times New Roman"/>
          <w:sz w:val="28"/>
          <w:szCs w:val="28"/>
        </w:rPr>
        <w:br/>
      </w:r>
    </w:p>
    <w:sectPr w:rsidR="003A0EAE" w:rsidSect="007D403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051" w:rsidRDefault="00AF0051" w:rsidP="00B8638F">
      <w:pPr>
        <w:spacing w:after="0" w:line="240" w:lineRule="auto"/>
      </w:pPr>
      <w:r>
        <w:separator/>
      </w:r>
    </w:p>
  </w:endnote>
  <w:endnote w:type="continuationSeparator" w:id="0">
    <w:p w:rsidR="00AF0051" w:rsidRDefault="00AF0051" w:rsidP="00B8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051" w:rsidRDefault="00AF0051" w:rsidP="00B8638F">
      <w:pPr>
        <w:spacing w:after="0" w:line="240" w:lineRule="auto"/>
      </w:pPr>
      <w:r>
        <w:separator/>
      </w:r>
    </w:p>
  </w:footnote>
  <w:footnote w:type="continuationSeparator" w:id="0">
    <w:p w:rsidR="00AF0051" w:rsidRDefault="00AF0051" w:rsidP="00B8638F">
      <w:pPr>
        <w:spacing w:after="0" w:line="240" w:lineRule="auto"/>
      </w:pPr>
      <w:r>
        <w:continuationSeparator/>
      </w:r>
    </w:p>
  </w:footnote>
  <w:footnote w:id="1">
    <w:p w:rsidR="00B8638F" w:rsidRPr="00872DFA" w:rsidRDefault="00B8638F" w:rsidP="00B8638F">
      <w:pPr>
        <w:pStyle w:val="a5"/>
        <w:rPr>
          <w:lang w:val="en-US"/>
        </w:rPr>
      </w:pPr>
      <w:r>
        <w:rPr>
          <w:rStyle w:val="a7"/>
        </w:rPr>
        <w:footnoteRef/>
      </w:r>
      <w:r>
        <w:t xml:space="preserve"> </w:t>
      </w:r>
      <w:r w:rsidRPr="00872DFA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lang w:val="en-US"/>
        </w:rPr>
        <w:t xml:space="preserve"> </w:t>
      </w:r>
      <w:r w:rsidRPr="00872DFA">
        <w:rPr>
          <w:rFonts w:ascii="Times New Roman" w:hAnsi="Times New Roman" w:cs="Times New Roman"/>
        </w:rPr>
        <w:t>разі, якщо кількість набраних</w:t>
      </w:r>
      <w:bookmarkStart w:id="0" w:name="_GoBack"/>
      <w:bookmarkEnd w:id="0"/>
      <w:r w:rsidRPr="00872DFA">
        <w:rPr>
          <w:rFonts w:ascii="Times New Roman" w:hAnsi="Times New Roman" w:cs="Times New Roman"/>
        </w:rPr>
        <w:t xml:space="preserve"> викладачем балів згідно пунктів вищевказаної таблиці перевищує 50 балів, то дана кількість приймається на рівні 50 балів.</w:t>
      </w:r>
    </w:p>
    <w:p w:rsidR="00B8638F" w:rsidRPr="00B8638F" w:rsidRDefault="00B8638F">
      <w:pPr>
        <w:pStyle w:val="a5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B5E27"/>
    <w:multiLevelType w:val="hybridMultilevel"/>
    <w:tmpl w:val="3DBC9FBA"/>
    <w:lvl w:ilvl="0" w:tplc="1BA6FDA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F9"/>
    <w:rsid w:val="00043ACF"/>
    <w:rsid w:val="00140753"/>
    <w:rsid w:val="00190C0F"/>
    <w:rsid w:val="00306FB1"/>
    <w:rsid w:val="003A0EAE"/>
    <w:rsid w:val="003E1609"/>
    <w:rsid w:val="007A5888"/>
    <w:rsid w:val="007B08D9"/>
    <w:rsid w:val="007D403D"/>
    <w:rsid w:val="00821DDC"/>
    <w:rsid w:val="00822133"/>
    <w:rsid w:val="008D4547"/>
    <w:rsid w:val="00AF0051"/>
    <w:rsid w:val="00B8638F"/>
    <w:rsid w:val="00CF77F9"/>
    <w:rsid w:val="00D17B9B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F68C4-CC2B-49CC-B57A-53EA1945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821DD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821D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821DDC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TrebuchetMS115pt">
    <w:name w:val="Основной текст (2) + Trebuchet MS;11;5 pt;Не полужирный"/>
    <w:basedOn w:val="2"/>
    <w:rsid w:val="00821DD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paragraph" w:styleId="a4">
    <w:name w:val="List Paragraph"/>
    <w:basedOn w:val="a"/>
    <w:uiPriority w:val="34"/>
    <w:qFormat/>
    <w:rsid w:val="00821DDC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a5">
    <w:name w:val="footnote text"/>
    <w:basedOn w:val="a"/>
    <w:link w:val="a6"/>
    <w:uiPriority w:val="99"/>
    <w:semiHidden/>
    <w:unhideWhenUsed/>
    <w:rsid w:val="00B8638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8638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863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1D1A3-243C-4326-9FE4-1FA97683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5558</Words>
  <Characters>3169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ФБС</dc:creator>
  <cp:keywords/>
  <dc:description/>
  <cp:lastModifiedBy>ФБС</cp:lastModifiedBy>
  <cp:revision>9</cp:revision>
  <dcterms:created xsi:type="dcterms:W3CDTF">2024-12-13T13:44:00Z</dcterms:created>
  <dcterms:modified xsi:type="dcterms:W3CDTF">2024-12-14T16:15:00Z</dcterms:modified>
</cp:coreProperties>
</file>